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0DB" w:rsidRDefault="00720C02">
      <w:r>
        <w:t xml:space="preserve">Numbering shown below corresponds to items on the </w:t>
      </w:r>
      <w:proofErr w:type="gramStart"/>
      <w:r>
        <w:t>Winter</w:t>
      </w:r>
      <w:proofErr w:type="gramEnd"/>
      <w:r>
        <w:t xml:space="preserve"> meeting agenda</w:t>
      </w:r>
    </w:p>
    <w:p w:rsidR="00ED40DB" w:rsidRPr="00ED40DB" w:rsidRDefault="009E14D3">
      <w:pPr>
        <w:rPr>
          <w:b/>
        </w:rPr>
      </w:pPr>
      <w:r>
        <w:rPr>
          <w:b/>
        </w:rPr>
        <w:t>3</w:t>
      </w:r>
      <w:r w:rsidR="00ED40DB" w:rsidRPr="00ED40DB">
        <w:rPr>
          <w:b/>
        </w:rPr>
        <w:t>) President’s report</w:t>
      </w:r>
    </w:p>
    <w:p w:rsidR="00ED40DB" w:rsidRDefault="00ED40DB" w:rsidP="009E14D3">
      <w:pPr>
        <w:pStyle w:val="ListParagraph"/>
        <w:numPr>
          <w:ilvl w:val="0"/>
          <w:numId w:val="4"/>
        </w:numPr>
        <w:contextualSpacing w:val="0"/>
      </w:pPr>
      <w:proofErr w:type="gramStart"/>
      <w:r>
        <w:t>attended</w:t>
      </w:r>
      <w:proofErr w:type="gramEnd"/>
      <w:r>
        <w:t xml:space="preserve"> AAES meeting. Support for licensure among member engineering societies ranges from strong (ASCE, NSPE) to very weak. AAES in financial difficulty, had to lay off all staff. ASCE currently supporting them with office help until next steps figured out</w:t>
      </w:r>
    </w:p>
    <w:p w:rsidR="00ED40DB" w:rsidRDefault="00ED40DB" w:rsidP="009E14D3">
      <w:pPr>
        <w:pStyle w:val="ListParagraph"/>
        <w:numPr>
          <w:ilvl w:val="0"/>
          <w:numId w:val="4"/>
        </w:numPr>
        <w:contextualSpacing w:val="0"/>
      </w:pPr>
      <w:proofErr w:type="gramStart"/>
      <w:r>
        <w:t>attended</w:t>
      </w:r>
      <w:proofErr w:type="gramEnd"/>
      <w:r>
        <w:t xml:space="preserve"> ABET meeting after Fall NSPE board meeting. Was disappointed at </w:t>
      </w:r>
      <w:proofErr w:type="spellStart"/>
      <w:r>
        <w:t>ABET’s</w:t>
      </w:r>
      <w:proofErr w:type="spellEnd"/>
      <w:r>
        <w:t xml:space="preserve"> lack of willingness to support B+30. Pres Hardy thinks that one reason is that ABET membership is about 75% academic.  They don’t “get” the need to have coverage of the outcomes associated with engineering practice associated with th</w:t>
      </w:r>
      <w:r w:rsidR="008F7A66">
        <w:t>e +30, including sustainability</w:t>
      </w:r>
      <w:r>
        <w:t>, project management, risk management.</w:t>
      </w:r>
    </w:p>
    <w:p w:rsidR="00ED40DB" w:rsidRDefault="00ED40DB" w:rsidP="009E14D3">
      <w:pPr>
        <w:pStyle w:val="ListParagraph"/>
        <w:numPr>
          <w:ilvl w:val="0"/>
          <w:numId w:val="4"/>
        </w:numPr>
        <w:contextualSpacing w:val="0"/>
      </w:pPr>
      <w:proofErr w:type="gramStart"/>
      <w:r>
        <w:t>will</w:t>
      </w:r>
      <w:proofErr w:type="gramEnd"/>
      <w:r>
        <w:t xml:space="preserve"> be talking with </w:t>
      </w:r>
      <w:r w:rsidR="000A458A">
        <w:t xml:space="preserve">L&amp;QPC Chair </w:t>
      </w:r>
      <w:r>
        <w:t xml:space="preserve">Craig </w:t>
      </w:r>
      <w:proofErr w:type="spellStart"/>
      <w:r>
        <w:t>Musselman</w:t>
      </w:r>
      <w:proofErr w:type="spellEnd"/>
      <w:r>
        <w:t xml:space="preserve"> to start discussion in House of Delegates </w:t>
      </w:r>
      <w:proofErr w:type="spellStart"/>
      <w:r>
        <w:t>listserve</w:t>
      </w:r>
      <w:proofErr w:type="spellEnd"/>
      <w:r>
        <w:t xml:space="preserve"> to provide</w:t>
      </w:r>
      <w:r w:rsidR="008F7A66">
        <w:t xml:space="preserve"> input into activities of L&amp;QP C</w:t>
      </w:r>
      <w:r>
        <w:t>ommittee</w:t>
      </w:r>
    </w:p>
    <w:p w:rsidR="00ED40DB" w:rsidRDefault="008F7A66" w:rsidP="009E14D3">
      <w:pPr>
        <w:pStyle w:val="ListParagraph"/>
        <w:numPr>
          <w:ilvl w:val="0"/>
          <w:numId w:val="4"/>
        </w:numPr>
        <w:contextualSpacing w:val="0"/>
      </w:pPr>
      <w:proofErr w:type="spellStart"/>
      <w:r>
        <w:t>NorthCentral</w:t>
      </w:r>
      <w:proofErr w:type="spellEnd"/>
      <w:r>
        <w:t xml:space="preserve"> and </w:t>
      </w:r>
      <w:proofErr w:type="spellStart"/>
      <w:r>
        <w:t>NorthE</w:t>
      </w:r>
      <w:r w:rsidR="00ED40DB">
        <w:t>ast</w:t>
      </w:r>
      <w:proofErr w:type="spellEnd"/>
      <w:r w:rsidR="00ED40DB">
        <w:t xml:space="preserve"> regions concerned that the webinar on State-National agreements needed to provide more time for discussion, since it was a town meeting format.  Chris Stone indicated that need to use </w:t>
      </w:r>
      <w:proofErr w:type="spellStart"/>
      <w:r w:rsidR="00ED40DB">
        <w:t>listserve</w:t>
      </w:r>
      <w:proofErr w:type="spellEnd"/>
      <w:r w:rsidR="00ED40DB">
        <w:t xml:space="preserve"> better.</w:t>
      </w:r>
    </w:p>
    <w:p w:rsidR="00ED40DB" w:rsidRPr="00ED40DB" w:rsidRDefault="009E14D3">
      <w:pPr>
        <w:rPr>
          <w:b/>
        </w:rPr>
      </w:pPr>
      <w:r>
        <w:rPr>
          <w:b/>
        </w:rPr>
        <w:t>4</w:t>
      </w:r>
      <w:r w:rsidR="00ED40DB" w:rsidRPr="00ED40DB">
        <w:rPr>
          <w:b/>
        </w:rPr>
        <w:t>) Executive Director’s report</w:t>
      </w:r>
    </w:p>
    <w:p w:rsidR="00ED40DB" w:rsidRDefault="00ED40DB" w:rsidP="009E14D3">
      <w:pPr>
        <w:pStyle w:val="ListParagraph"/>
        <w:numPr>
          <w:ilvl w:val="0"/>
          <w:numId w:val="2"/>
        </w:numPr>
        <w:contextualSpacing w:val="0"/>
      </w:pPr>
      <w:proofErr w:type="gramStart"/>
      <w:r>
        <w:t>society</w:t>
      </w:r>
      <w:proofErr w:type="gramEnd"/>
      <w:r>
        <w:t xml:space="preserve"> is maintaining financial stability.  Handling major expenses without burning equity</w:t>
      </w:r>
    </w:p>
    <w:p w:rsidR="003408B4" w:rsidRDefault="00ED40DB" w:rsidP="009E14D3">
      <w:pPr>
        <w:pStyle w:val="ListParagraph"/>
        <w:numPr>
          <w:ilvl w:val="0"/>
          <w:numId w:val="2"/>
        </w:numPr>
        <w:contextualSpacing w:val="0"/>
      </w:pPr>
      <w:proofErr w:type="gramStart"/>
      <w:r>
        <w:t>staff</w:t>
      </w:r>
      <w:proofErr w:type="gramEnd"/>
      <w:r>
        <w:t xml:space="preserve"> is stable and talented. Have about 100 people on payroll, consisting of 40 for NICET, 40 for NSPE and about 20 for J</w:t>
      </w:r>
      <w:r w:rsidR="003408B4">
        <w:t xml:space="preserve">ETS, </w:t>
      </w:r>
      <w:proofErr w:type="spellStart"/>
      <w:r w:rsidR="003408B4">
        <w:t>Eweek</w:t>
      </w:r>
      <w:proofErr w:type="spellEnd"/>
      <w:r w:rsidR="003408B4">
        <w:t xml:space="preserve"> </w:t>
      </w:r>
      <w:r>
        <w:t>and other affiliated areas. Very little turnover; non-performers are turned over, but overall the “churn rate” is low compared to other organizations</w:t>
      </w:r>
      <w:r w:rsidR="003408B4">
        <w:t>.</w:t>
      </w:r>
    </w:p>
    <w:p w:rsidR="00ED40DB" w:rsidRDefault="003408B4" w:rsidP="009E14D3">
      <w:pPr>
        <w:pStyle w:val="ListParagraph"/>
        <w:numPr>
          <w:ilvl w:val="0"/>
          <w:numId w:val="2"/>
        </w:numPr>
        <w:contextualSpacing w:val="0"/>
      </w:pPr>
      <w:r>
        <w:t xml:space="preserve">Exec Director of JETS is leaving. NSPE will support JETS until a new Exec Director is hired. </w:t>
      </w:r>
    </w:p>
    <w:p w:rsidR="00ED40DB" w:rsidRDefault="00ED40DB" w:rsidP="009E14D3">
      <w:pPr>
        <w:pStyle w:val="ListParagraph"/>
        <w:numPr>
          <w:ilvl w:val="0"/>
          <w:numId w:val="2"/>
        </w:numPr>
        <w:contextualSpacing w:val="0"/>
      </w:pPr>
      <w:proofErr w:type="gramStart"/>
      <w:r>
        <w:t>building</w:t>
      </w:r>
      <w:proofErr w:type="gramEnd"/>
      <w:r>
        <w:t xml:space="preserve"> repairs done on pay as you go basis. </w:t>
      </w:r>
      <w:r w:rsidR="006E0931">
        <w:t xml:space="preserve">Repairs needed to prevent water </w:t>
      </w:r>
      <w:proofErr w:type="gramStart"/>
      <w:r w:rsidR="006E0931">
        <w:t>damage</w:t>
      </w:r>
      <w:proofErr w:type="gramEnd"/>
      <w:r w:rsidR="006E0931">
        <w:t xml:space="preserve"> to basement floor.</w:t>
      </w:r>
    </w:p>
    <w:p w:rsidR="003408B4" w:rsidRDefault="00ED40DB" w:rsidP="009E14D3">
      <w:pPr>
        <w:pStyle w:val="ListParagraph"/>
        <w:numPr>
          <w:ilvl w:val="0"/>
          <w:numId w:val="2"/>
        </w:numPr>
        <w:contextualSpacing w:val="0"/>
      </w:pPr>
      <w:proofErr w:type="gramStart"/>
      <w:r>
        <w:t>please</w:t>
      </w:r>
      <w:proofErr w:type="gramEnd"/>
      <w:r>
        <w:t xml:space="preserve"> look at government relations report on NSPE website. NSPE does a lot of it, even if it doesn’t lobby much.  </w:t>
      </w:r>
    </w:p>
    <w:p w:rsidR="00E36068" w:rsidRDefault="00E36068" w:rsidP="009E14D3">
      <w:pPr>
        <w:pStyle w:val="ListParagraph"/>
        <w:numPr>
          <w:ilvl w:val="0"/>
          <w:numId w:val="2"/>
        </w:numPr>
        <w:contextualSpacing w:val="0"/>
      </w:pPr>
      <w:proofErr w:type="gramStart"/>
      <w:r>
        <w:t>membership</w:t>
      </w:r>
      <w:proofErr w:type="gramEnd"/>
      <w:r>
        <w:t xml:space="preserve">. With approval of State-only, National-only, can work with a ‘clean sheet of paper’, apply best marketing techniques, brand new product </w:t>
      </w:r>
      <w:proofErr w:type="gramStart"/>
      <w:r>
        <w:t>roll-out</w:t>
      </w:r>
      <w:proofErr w:type="gramEnd"/>
      <w:r>
        <w:t xml:space="preserve"> to market NSPE national membersh</w:t>
      </w:r>
      <w:r w:rsidR="008F7A66">
        <w:t>ip. National is currently trying some small-</w:t>
      </w:r>
      <w:r>
        <w:t xml:space="preserve">scale marketing experiments to see what works in the 6 states that have adopted state-only/national-only. Take new marketing approach different from previous 75 years of selling memberships. Tried different marketing letters in same state. Tried same letter in 3 different states to see if there are regional personalities. All results will be shared with the states. So far, on average, for every $ invested in marketing, get 2$ back in membership. Have sold 40-50 new memberships in Georgia, 16 in Kansas, a bunch in the Dakotas, and some in Illinois. Have shared these sales results with the states, but the states haven’t acknowledged the results. </w:t>
      </w:r>
      <w:r w:rsidR="000A458A">
        <w:t>These were national-only memberships.</w:t>
      </w:r>
      <w:r>
        <w:t xml:space="preserve">  It seems that none of the states approached so far have a marketing budget and they don’t actively market their societies and memberships.</w:t>
      </w:r>
      <w:r w:rsidR="00134B43">
        <w:t xml:space="preserve"> NSPE Pres-elect</w:t>
      </w:r>
      <w:r>
        <w:t xml:space="preserve"> Chris Stone indicates that what marketing efforts states do may be ineffective.</w:t>
      </w:r>
    </w:p>
    <w:p w:rsidR="000A458A" w:rsidRDefault="000A458A" w:rsidP="009E14D3">
      <w:pPr>
        <w:pStyle w:val="ListParagraph"/>
        <w:numPr>
          <w:ilvl w:val="0"/>
          <w:numId w:val="2"/>
        </w:numPr>
        <w:contextualSpacing w:val="0"/>
      </w:pPr>
      <w:r>
        <w:t>NSPE national doesn’t have a budget for marketing, yet. Doing things on small scale first to find out what works. Once they find out what provides the best return, NSPE national will scale it up.  Larry asks Felicia Battle to have one promotion a week and then present results of the promotion 2 weeks later, so can evaluate results.</w:t>
      </w:r>
    </w:p>
    <w:p w:rsidR="009E14D3" w:rsidRDefault="000A458A" w:rsidP="009E14D3">
      <w:pPr>
        <w:pStyle w:val="ListParagraph"/>
        <w:numPr>
          <w:ilvl w:val="0"/>
          <w:numId w:val="2"/>
        </w:numPr>
        <w:contextualSpacing w:val="0"/>
      </w:pPr>
      <w:proofErr w:type="gramStart"/>
      <w:r>
        <w:t>total</w:t>
      </w:r>
      <w:proofErr w:type="gramEnd"/>
      <w:r>
        <w:t xml:space="preserve"> of 100-150 “point of purchase” </w:t>
      </w:r>
      <w:r w:rsidR="009E14D3">
        <w:t xml:space="preserve">full-price national-only membership </w:t>
      </w:r>
      <w:r>
        <w:t>sales have been made from new marketing initiatives</w:t>
      </w:r>
      <w:r w:rsidR="009E14D3">
        <w:t>. Larry thinks p</w:t>
      </w:r>
      <w:r>
        <w:t>ossibly light at the end of the tunnel in terms of membership</w:t>
      </w:r>
      <w:r w:rsidR="009E14D3">
        <w:t>.</w:t>
      </w:r>
    </w:p>
    <w:p w:rsidR="00316A1E" w:rsidRDefault="007F5603" w:rsidP="009E14D3">
      <w:pPr>
        <w:pStyle w:val="ListParagraph"/>
        <w:numPr>
          <w:ilvl w:val="0"/>
          <w:numId w:val="2"/>
        </w:numPr>
        <w:contextualSpacing w:val="0"/>
      </w:pPr>
      <w:r>
        <w:t>States make decisions based on the 20% of members they know instead of on the 80% they don’t know, the checkbook members.</w:t>
      </w:r>
    </w:p>
    <w:p w:rsidR="00316A1E" w:rsidRDefault="00316A1E" w:rsidP="009E14D3">
      <w:pPr>
        <w:pStyle w:val="ListParagraph"/>
        <w:numPr>
          <w:ilvl w:val="0"/>
          <w:numId w:val="2"/>
        </w:numPr>
        <w:contextualSpacing w:val="0"/>
      </w:pPr>
      <w:r>
        <w:t xml:space="preserve">Action item for WPR: Ask each state if </w:t>
      </w:r>
    </w:p>
    <w:p w:rsidR="00316A1E" w:rsidRDefault="00316A1E" w:rsidP="00316A1E">
      <w:pPr>
        <w:pStyle w:val="ListParagraph"/>
        <w:numPr>
          <w:ilvl w:val="1"/>
          <w:numId w:val="5"/>
        </w:numPr>
        <w:contextualSpacing w:val="0"/>
      </w:pPr>
      <w:proofErr w:type="gramStart"/>
      <w:r>
        <w:t>they</w:t>
      </w:r>
      <w:proofErr w:type="gramEnd"/>
      <w:r>
        <w:t xml:space="preserve"> want to partner with national on a </w:t>
      </w:r>
      <w:r w:rsidR="003D5C1A">
        <w:t xml:space="preserve">membership </w:t>
      </w:r>
      <w:r>
        <w:t>marketing campaign with chance of a 2:1 return on dollars invested, and</w:t>
      </w:r>
    </w:p>
    <w:p w:rsidR="00316A1E" w:rsidRDefault="00316A1E" w:rsidP="00316A1E">
      <w:pPr>
        <w:pStyle w:val="ListParagraph"/>
        <w:numPr>
          <w:ilvl w:val="1"/>
          <w:numId w:val="5"/>
        </w:numPr>
        <w:contextualSpacing w:val="0"/>
      </w:pPr>
      <w:proofErr w:type="gramStart"/>
      <w:r>
        <w:t>if</w:t>
      </w:r>
      <w:proofErr w:type="gramEnd"/>
      <w:r>
        <w:t xml:space="preserve"> so, if they have a marketing plan or marketing budget. If not, do they want to create them</w:t>
      </w:r>
    </w:p>
    <w:p w:rsidR="003E4E07" w:rsidRDefault="003E4E07" w:rsidP="009E14D3">
      <w:pPr>
        <w:pStyle w:val="ListParagraph"/>
        <w:numPr>
          <w:ilvl w:val="0"/>
          <w:numId w:val="2"/>
        </w:numPr>
        <w:contextualSpacing w:val="0"/>
      </w:pPr>
      <w:r>
        <w:t>NSPE Treasurer’s report summary</w:t>
      </w:r>
    </w:p>
    <w:tbl>
      <w:tblPr>
        <w:tblW w:w="6760" w:type="dxa"/>
        <w:tblInd w:w="95" w:type="dxa"/>
        <w:tblLook w:val="0000"/>
      </w:tblPr>
      <w:tblGrid>
        <w:gridCol w:w="2173"/>
        <w:gridCol w:w="1561"/>
        <w:gridCol w:w="1561"/>
        <w:gridCol w:w="1465"/>
      </w:tblGrid>
      <w:tr w:rsidR="003E4E07" w:rsidRPr="003E4E07">
        <w:trPr>
          <w:trHeight w:val="260"/>
        </w:trPr>
        <w:tc>
          <w:tcPr>
            <w:tcW w:w="6760" w:type="dxa"/>
            <w:gridSpan w:val="4"/>
            <w:tcBorders>
              <w:top w:val="nil"/>
              <w:left w:val="nil"/>
              <w:bottom w:val="nil"/>
              <w:right w:val="nil"/>
            </w:tcBorders>
            <w:shd w:val="clear" w:color="auto" w:fill="auto"/>
            <w:noWrap/>
            <w:vAlign w:val="bottom"/>
          </w:tcPr>
          <w:p w:rsidR="003E4E07" w:rsidRPr="003E4E07" w:rsidRDefault="003E4E07" w:rsidP="003E4E07">
            <w:pPr>
              <w:rPr>
                <w:rFonts w:ascii="Verdana" w:hAnsi="Verdana"/>
                <w:sz w:val="20"/>
                <w:szCs w:val="20"/>
              </w:rPr>
            </w:pPr>
            <w:r w:rsidRPr="003E4E07">
              <w:rPr>
                <w:rFonts w:ascii="Verdana" w:hAnsi="Verdana"/>
                <w:sz w:val="20"/>
                <w:szCs w:val="20"/>
              </w:rPr>
              <w:t>NSPE Fiscal 2010/11 Budgeted vs. YTD Operating Results</w:t>
            </w:r>
            <w:r>
              <w:rPr>
                <w:rFonts w:ascii="Verdana" w:hAnsi="Verdana"/>
                <w:sz w:val="20"/>
                <w:szCs w:val="20"/>
              </w:rPr>
              <w:t xml:space="preserve"> through Nov 30, 2010 (first 5 months, 41.7% completed)</w:t>
            </w:r>
          </w:p>
        </w:tc>
      </w:tr>
      <w:tr w:rsidR="003E4E07" w:rsidRPr="003E4E07">
        <w:trPr>
          <w:trHeight w:val="520"/>
        </w:trPr>
        <w:tc>
          <w:tcPr>
            <w:tcW w:w="22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3E4E07" w:rsidRPr="003E4E07" w:rsidRDefault="003E4E07">
            <w:pPr>
              <w:jc w:val="right"/>
              <w:rPr>
                <w:rFonts w:ascii="Verdana" w:hAnsi="Verdana"/>
                <w:b/>
                <w:bCs/>
                <w:sz w:val="20"/>
              </w:rPr>
            </w:pPr>
            <w:r w:rsidRPr="003E4E07">
              <w:rPr>
                <w:rFonts w:ascii="Verdana" w:hAnsi="Verdana"/>
                <w:b/>
                <w:bCs/>
                <w:sz w:val="20"/>
              </w:rPr>
              <w:t>Category</w:t>
            </w:r>
          </w:p>
        </w:tc>
        <w:tc>
          <w:tcPr>
            <w:tcW w:w="1500" w:type="dxa"/>
            <w:tcBorders>
              <w:top w:val="single" w:sz="4" w:space="0" w:color="auto"/>
              <w:left w:val="single" w:sz="4" w:space="0" w:color="auto"/>
              <w:bottom w:val="single" w:sz="4" w:space="0" w:color="auto"/>
              <w:right w:val="single" w:sz="4" w:space="0" w:color="auto"/>
            </w:tcBorders>
            <w:shd w:val="clear" w:color="auto" w:fill="C0C0C0"/>
            <w:vAlign w:val="bottom"/>
          </w:tcPr>
          <w:p w:rsidR="003E4E07" w:rsidRPr="003E4E07" w:rsidRDefault="003E4E07">
            <w:pPr>
              <w:jc w:val="right"/>
              <w:rPr>
                <w:rFonts w:ascii="Verdana" w:hAnsi="Verdana"/>
                <w:b/>
                <w:bCs/>
                <w:sz w:val="20"/>
              </w:rPr>
            </w:pPr>
            <w:r w:rsidRPr="003E4E07">
              <w:rPr>
                <w:rFonts w:ascii="Verdana" w:hAnsi="Verdana"/>
                <w:b/>
                <w:bCs/>
                <w:sz w:val="20"/>
              </w:rPr>
              <w:t>Budget</w:t>
            </w:r>
          </w:p>
        </w:tc>
        <w:tc>
          <w:tcPr>
            <w:tcW w:w="1500" w:type="dxa"/>
            <w:tcBorders>
              <w:top w:val="single" w:sz="4" w:space="0" w:color="auto"/>
              <w:left w:val="single" w:sz="4" w:space="0" w:color="auto"/>
              <w:bottom w:val="single" w:sz="4" w:space="0" w:color="auto"/>
              <w:right w:val="single" w:sz="4" w:space="0" w:color="auto"/>
            </w:tcBorders>
            <w:shd w:val="clear" w:color="auto" w:fill="C0C0C0"/>
            <w:vAlign w:val="bottom"/>
          </w:tcPr>
          <w:p w:rsidR="003E4E07" w:rsidRPr="003E4E07" w:rsidRDefault="003E4E07">
            <w:pPr>
              <w:jc w:val="right"/>
              <w:rPr>
                <w:rFonts w:ascii="Verdana" w:hAnsi="Verdana"/>
                <w:b/>
                <w:bCs/>
                <w:sz w:val="20"/>
              </w:rPr>
            </w:pPr>
            <w:r w:rsidRPr="003E4E07">
              <w:rPr>
                <w:rFonts w:ascii="Verdana" w:hAnsi="Verdana"/>
                <w:b/>
                <w:bCs/>
                <w:sz w:val="20"/>
              </w:rPr>
              <w:t xml:space="preserve"> 5 </w:t>
            </w:r>
            <w:proofErr w:type="spellStart"/>
            <w:r w:rsidRPr="003E4E07">
              <w:rPr>
                <w:rFonts w:ascii="Verdana" w:hAnsi="Verdana"/>
                <w:b/>
                <w:bCs/>
                <w:sz w:val="20"/>
              </w:rPr>
              <w:t>mos</w:t>
            </w:r>
            <w:proofErr w:type="spellEnd"/>
            <w:r w:rsidRPr="003E4E07">
              <w:rPr>
                <w:rFonts w:ascii="Verdana" w:hAnsi="Verdana"/>
                <w:b/>
                <w:bCs/>
                <w:sz w:val="20"/>
              </w:rPr>
              <w:t xml:space="preserve"> Actual</w:t>
            </w:r>
          </w:p>
        </w:tc>
        <w:tc>
          <w:tcPr>
            <w:tcW w:w="1500" w:type="dxa"/>
            <w:tcBorders>
              <w:top w:val="single" w:sz="4" w:space="0" w:color="auto"/>
              <w:left w:val="single" w:sz="4" w:space="0" w:color="auto"/>
              <w:bottom w:val="single" w:sz="4" w:space="0" w:color="auto"/>
              <w:right w:val="single" w:sz="4" w:space="0" w:color="auto"/>
            </w:tcBorders>
            <w:shd w:val="clear" w:color="auto" w:fill="C0C0C0"/>
            <w:vAlign w:val="bottom"/>
          </w:tcPr>
          <w:p w:rsidR="003E4E07" w:rsidRPr="003E4E07" w:rsidRDefault="003E4E07">
            <w:pPr>
              <w:jc w:val="right"/>
              <w:rPr>
                <w:rFonts w:ascii="Verdana" w:hAnsi="Verdana"/>
                <w:b/>
                <w:bCs/>
                <w:sz w:val="20"/>
              </w:rPr>
            </w:pPr>
            <w:r w:rsidRPr="003E4E07">
              <w:rPr>
                <w:rFonts w:ascii="Verdana" w:hAnsi="Verdana"/>
                <w:b/>
                <w:bCs/>
                <w:sz w:val="20"/>
              </w:rPr>
              <w:t xml:space="preserve"> Percent</w:t>
            </w:r>
          </w:p>
        </w:tc>
      </w:tr>
      <w:tr w:rsidR="003E4E07" w:rsidRPr="003E4E07">
        <w:trPr>
          <w:trHeight w:val="260"/>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sz w:val="20"/>
              </w:rPr>
              <w:t>Revenue</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sz w:val="20"/>
              </w:rPr>
              <w:t xml:space="preserve">$5,812,000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sz w:val="20"/>
              </w:rPr>
              <w:t xml:space="preserve">$2,265,054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sz w:val="20"/>
              </w:rPr>
              <w:t>39.0%</w:t>
            </w:r>
          </w:p>
        </w:tc>
      </w:tr>
      <w:tr w:rsidR="003E4E07" w:rsidRPr="003E4E07">
        <w:trPr>
          <w:trHeight w:val="260"/>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sz w:val="20"/>
              </w:rPr>
              <w:t>Direct Expenses</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color w:val="DD0806"/>
                <w:sz w:val="20"/>
              </w:rPr>
              <w:t>($2,583,308)</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color w:val="DD0806"/>
                <w:sz w:val="20"/>
              </w:rPr>
              <w:t>($1,037,146)</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sz w:val="20"/>
              </w:rPr>
              <w:t>40.1%</w:t>
            </w:r>
          </w:p>
        </w:tc>
      </w:tr>
      <w:tr w:rsidR="003E4E07" w:rsidRPr="003E4E07">
        <w:trPr>
          <w:trHeight w:val="520"/>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sz w:val="20"/>
              </w:rPr>
              <w:t>Staff Costs &amp; Overhead</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color w:val="DD0806"/>
                <w:sz w:val="20"/>
              </w:rPr>
              <w:t>($3,228,692)</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color w:val="DD0806"/>
                <w:sz w:val="20"/>
              </w:rPr>
              <w:t>($1,358,027)</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sz w:val="20"/>
              </w:rPr>
              <w:t>42.0%</w:t>
            </w:r>
          </w:p>
        </w:tc>
      </w:tr>
      <w:tr w:rsidR="003E4E07" w:rsidRPr="003E4E07">
        <w:trPr>
          <w:trHeight w:val="520"/>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sz w:val="20"/>
              </w:rPr>
              <w:t>Surplus (deficit)</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r w:rsidRPr="003E4E07">
              <w:rPr>
                <w:rFonts w:ascii="Verdana" w:hAnsi="Verdana"/>
                <w:sz w:val="20"/>
              </w:rPr>
              <w:t>$0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color w:val="DD0806"/>
                <w:sz w:val="20"/>
              </w:rPr>
            </w:pPr>
            <w:r w:rsidRPr="003E4E07">
              <w:rPr>
                <w:rFonts w:ascii="Verdana" w:hAnsi="Verdana"/>
                <w:color w:val="DD0806"/>
                <w:sz w:val="20"/>
              </w:rPr>
              <w:t>($130,119)</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3E4E07" w:rsidRPr="003E4E07" w:rsidRDefault="003E4E07">
            <w:pPr>
              <w:jc w:val="right"/>
              <w:rPr>
                <w:rFonts w:ascii="Verdana" w:hAnsi="Verdana"/>
                <w:sz w:val="20"/>
              </w:rPr>
            </w:pPr>
          </w:p>
        </w:tc>
      </w:tr>
    </w:tbl>
    <w:p w:rsidR="00091DAE" w:rsidRDefault="00091DAE" w:rsidP="003E4E07"/>
    <w:p w:rsidR="00091DAE" w:rsidRDefault="00091DAE" w:rsidP="00091DAE">
      <w:pPr>
        <w:pStyle w:val="ListParagraph"/>
        <w:numPr>
          <w:ilvl w:val="0"/>
          <w:numId w:val="2"/>
        </w:numPr>
      </w:pPr>
      <w:r>
        <w:t>NICET report</w:t>
      </w:r>
    </w:p>
    <w:p w:rsidR="00091DAE" w:rsidRDefault="00091DAE" w:rsidP="00091DAE">
      <w:pPr>
        <w:pStyle w:val="ListParagraph"/>
        <w:numPr>
          <w:ilvl w:val="1"/>
          <w:numId w:val="2"/>
        </w:numPr>
      </w:pPr>
      <w:r>
        <w:t>NICET operating at surplus of $583,229 to date for fiscal year – revenue sharing to NSPE of $110,300. Set aside $400,00 in new Certification program maintenance and development reserve fund</w:t>
      </w:r>
    </w:p>
    <w:p w:rsidR="00091DAE" w:rsidRDefault="00091DAE" w:rsidP="00091DAE">
      <w:pPr>
        <w:pStyle w:val="ListParagraph"/>
        <w:numPr>
          <w:ilvl w:val="1"/>
          <w:numId w:val="2"/>
        </w:numPr>
      </w:pPr>
      <w:r>
        <w:t>Developing new certification in residential fire-sprinkler certification</w:t>
      </w:r>
    </w:p>
    <w:p w:rsidR="00091DAE" w:rsidRDefault="00091DAE" w:rsidP="00091DAE">
      <w:pPr>
        <w:pStyle w:val="ListParagraph"/>
        <w:numPr>
          <w:ilvl w:val="1"/>
          <w:numId w:val="2"/>
        </w:numPr>
      </w:pPr>
      <w:r>
        <w:t xml:space="preserve">Need industry partners to provide Subject Matter Experts – some </w:t>
      </w:r>
      <w:r w:rsidR="00006AFF">
        <w:t>difficulty in getting participants because of their limited travel budgets because of the economy</w:t>
      </w:r>
    </w:p>
    <w:p w:rsidR="00091DAE" w:rsidRDefault="00091DAE" w:rsidP="00091DAE">
      <w:pPr>
        <w:pStyle w:val="ListParagraph"/>
        <w:numPr>
          <w:ilvl w:val="1"/>
          <w:numId w:val="2"/>
        </w:numPr>
      </w:pPr>
      <w:r>
        <w:t>Operate with 34 full time staff to maintain about 40,000 current certifications</w:t>
      </w:r>
    </w:p>
    <w:p w:rsidR="00091DAE" w:rsidRDefault="00091DAE" w:rsidP="00091DAE">
      <w:pPr>
        <w:pStyle w:val="ListParagraph"/>
        <w:numPr>
          <w:ilvl w:val="1"/>
          <w:numId w:val="2"/>
        </w:numPr>
      </w:pPr>
      <w:r>
        <w:t>Gone to electronic archiving of candidate application files, saving 480 sq feet of storage space</w:t>
      </w:r>
    </w:p>
    <w:p w:rsidR="00503E21" w:rsidRDefault="00091DAE" w:rsidP="00091DAE">
      <w:pPr>
        <w:pStyle w:val="ListParagraph"/>
        <w:numPr>
          <w:ilvl w:val="1"/>
          <w:numId w:val="2"/>
        </w:numPr>
      </w:pPr>
      <w:r>
        <w:t>Next steps – moving to paper based exams to computer-based testing over next 2 years– will spend some of reserve funds to hire outside consultants to do this</w:t>
      </w:r>
    </w:p>
    <w:p w:rsidR="00503E21" w:rsidRDefault="00503E21" w:rsidP="00503E21">
      <w:pPr>
        <w:pStyle w:val="ListParagraph"/>
        <w:ind w:left="1080"/>
      </w:pPr>
    </w:p>
    <w:p w:rsidR="00503E21" w:rsidRDefault="00503E21" w:rsidP="00503E21">
      <w:pPr>
        <w:pStyle w:val="ListParagraph"/>
        <w:numPr>
          <w:ilvl w:val="0"/>
          <w:numId w:val="2"/>
        </w:numPr>
      </w:pPr>
      <w:r>
        <w:t>NSPE Bylaws task force report – attachments 5.5.1 and 5.5.2</w:t>
      </w:r>
    </w:p>
    <w:p w:rsidR="00503E21" w:rsidRDefault="00503E21" w:rsidP="00503E21">
      <w:pPr>
        <w:pStyle w:val="ListParagraph"/>
        <w:numPr>
          <w:ilvl w:val="1"/>
          <w:numId w:val="2"/>
        </w:numPr>
      </w:pPr>
      <w:r>
        <w:t>Overall goal is to simplify bylaws by moving operations and procedures out of the Bylaws and into Operations and Procedures Manual</w:t>
      </w:r>
    </w:p>
    <w:p w:rsidR="00503E21" w:rsidRDefault="00503E21" w:rsidP="00503E21">
      <w:pPr>
        <w:pStyle w:val="ListParagraph"/>
        <w:numPr>
          <w:ilvl w:val="1"/>
          <w:numId w:val="2"/>
        </w:numPr>
      </w:pPr>
      <w:r>
        <w:t>Two recommendations</w:t>
      </w:r>
    </w:p>
    <w:p w:rsidR="00503E21" w:rsidRDefault="00503E21" w:rsidP="00503E21">
      <w:pPr>
        <w:pStyle w:val="ListParagraph"/>
        <w:numPr>
          <w:ilvl w:val="2"/>
          <w:numId w:val="2"/>
        </w:numPr>
      </w:pPr>
      <w:r>
        <w:t>Redline markup of bylaws – simplifying Bylaws from 31 pages to 23 pages</w:t>
      </w:r>
    </w:p>
    <w:p w:rsidR="00503E21" w:rsidRDefault="00503E21" w:rsidP="00503E21">
      <w:pPr>
        <w:pStyle w:val="ListParagraph"/>
        <w:numPr>
          <w:ilvl w:val="2"/>
          <w:numId w:val="2"/>
        </w:numPr>
      </w:pPr>
      <w:r>
        <w:t xml:space="preserve">Revision of Operations and Procedures manual to accommodate material moved from Bylaws </w:t>
      </w:r>
    </w:p>
    <w:p w:rsidR="00CC7029" w:rsidRDefault="00503E21" w:rsidP="00503E21">
      <w:pPr>
        <w:pStyle w:val="ListParagraph"/>
        <w:numPr>
          <w:ilvl w:val="1"/>
          <w:numId w:val="2"/>
        </w:numPr>
      </w:pPr>
      <w:r>
        <w:t xml:space="preserve">If Board of Directors approves the changes, the Bylaws will go to House of Delegates for review, probably to be reviewed and discussed on-line via webinar before a </w:t>
      </w:r>
      <w:proofErr w:type="spellStart"/>
      <w:r>
        <w:t>HoD</w:t>
      </w:r>
      <w:proofErr w:type="spellEnd"/>
      <w:r>
        <w:t xml:space="preserve"> vote at National meeting in July 2011.</w:t>
      </w:r>
    </w:p>
    <w:p w:rsidR="00CC7029" w:rsidRDefault="00CC7029" w:rsidP="00503E21">
      <w:pPr>
        <w:pStyle w:val="ListParagraph"/>
        <w:numPr>
          <w:ilvl w:val="1"/>
          <w:numId w:val="2"/>
        </w:numPr>
      </w:pPr>
      <w:r>
        <w:t xml:space="preserve">Although the recommendations of the Bylaws task force were primarily clean up and not to make any substantive changes, considerable discussion of proposed revisions took place at this meeting that included </w:t>
      </w:r>
    </w:p>
    <w:p w:rsidR="00CC7029" w:rsidRDefault="00CC7029" w:rsidP="00CC7029">
      <w:pPr>
        <w:pStyle w:val="ListParagraph"/>
        <w:numPr>
          <w:ilvl w:val="2"/>
          <w:numId w:val="2"/>
        </w:numPr>
      </w:pPr>
      <w:r>
        <w:t>Potential point</w:t>
      </w:r>
      <w:r w:rsidR="00501EDB">
        <w:t>s of confusion in the existing B</w:t>
      </w:r>
      <w:r>
        <w:t>ylaws and the proposed revisions, including</w:t>
      </w:r>
    </w:p>
    <w:p w:rsidR="00501EDB" w:rsidRDefault="00501EDB" w:rsidP="00501EDB">
      <w:pPr>
        <w:pStyle w:val="ListParagraph"/>
        <w:numPr>
          <w:ilvl w:val="3"/>
          <w:numId w:val="2"/>
        </w:numPr>
      </w:pPr>
      <w:r>
        <w:t>The need to clarify Bylaw 9 – Membership categories to better define that per NSPE bylaws, the Licensed Member grade should be interpreted as a National member – right now this is ambiguous</w:t>
      </w:r>
    </w:p>
    <w:p w:rsidR="00501EDB" w:rsidRDefault="00501EDB" w:rsidP="00CC7029">
      <w:pPr>
        <w:pStyle w:val="ListParagraph"/>
        <w:numPr>
          <w:ilvl w:val="3"/>
          <w:numId w:val="2"/>
        </w:numPr>
      </w:pPr>
      <w:r>
        <w:t xml:space="preserve">The need to clarify Bylaw 12 – Officers who must be a </w:t>
      </w:r>
      <w:proofErr w:type="spellStart"/>
      <w:r>
        <w:t>national+state</w:t>
      </w:r>
      <w:proofErr w:type="spellEnd"/>
      <w:r>
        <w:t xml:space="preserve"> member to serve on the National Board of directors. Right now Treasurer, as defined in current national Bylaws, need not be a </w:t>
      </w:r>
      <w:proofErr w:type="spellStart"/>
      <w:r>
        <w:t>national+state</w:t>
      </w:r>
      <w:proofErr w:type="spellEnd"/>
      <w:r>
        <w:t xml:space="preserve"> member</w:t>
      </w:r>
    </w:p>
    <w:p w:rsidR="00501EDB" w:rsidRDefault="00501EDB" w:rsidP="00501EDB">
      <w:pPr>
        <w:pStyle w:val="ListParagraph"/>
        <w:numPr>
          <w:ilvl w:val="3"/>
          <w:numId w:val="2"/>
        </w:numPr>
      </w:pPr>
      <w:r>
        <w:t xml:space="preserve">The </w:t>
      </w:r>
      <w:proofErr w:type="gramStart"/>
      <w:r>
        <w:t>need to improve the definition of interest groups in Bylaw 21 – Interest Groups and then clearly describe</w:t>
      </w:r>
      <w:proofErr w:type="gramEnd"/>
      <w:r>
        <w:t xml:space="preserve"> its potential representation on the </w:t>
      </w:r>
      <w:proofErr w:type="spellStart"/>
      <w:r>
        <w:t>HoD</w:t>
      </w:r>
      <w:proofErr w:type="spellEnd"/>
      <w:r>
        <w:t xml:space="preserve"> or Board of Directors. Concern is that current Bylaws could be interpreted so that anyone could form a small interest group and then insist on a rotating seat on the Board of Directors or a seat/vote in House of Delegates.  This is not the intent, so Bylaws may need to be further clarified or simplified</w:t>
      </w:r>
    </w:p>
    <w:p w:rsidR="00C10B5E" w:rsidRDefault="00501EDB" w:rsidP="00501EDB">
      <w:pPr>
        <w:pStyle w:val="ListParagraph"/>
        <w:numPr>
          <w:ilvl w:val="3"/>
          <w:numId w:val="2"/>
        </w:numPr>
      </w:pPr>
      <w:r>
        <w:t>The need to further revise Bylaw 22 – Operating Boards to further simplify it</w:t>
      </w:r>
      <w:r w:rsidR="00464A16">
        <w:t>, striking several sentences and simplifying the first sentence</w:t>
      </w:r>
    </w:p>
    <w:p w:rsidR="00C10B5E" w:rsidRDefault="00C10B5E" w:rsidP="00501EDB">
      <w:pPr>
        <w:pStyle w:val="ListParagraph"/>
        <w:numPr>
          <w:ilvl w:val="3"/>
          <w:numId w:val="2"/>
        </w:numPr>
      </w:pPr>
      <w:r>
        <w:t xml:space="preserve">The need to further revise Bylaw 23 – Committees and Task Forces, to </w:t>
      </w:r>
    </w:p>
    <w:p w:rsidR="00C10B5E" w:rsidRDefault="00C10B5E" w:rsidP="00C10B5E">
      <w:pPr>
        <w:pStyle w:val="ListParagraph"/>
        <w:numPr>
          <w:ilvl w:val="4"/>
          <w:numId w:val="2"/>
        </w:numPr>
      </w:pPr>
      <w:proofErr w:type="gramStart"/>
      <w:r>
        <w:t>move</w:t>
      </w:r>
      <w:proofErr w:type="gramEnd"/>
      <w:r>
        <w:t xml:space="preserve"> Executive Committee section verbatim into Bylaw 14, then fix all other references to Exec committee that refer to Bylaw 23  and </w:t>
      </w:r>
    </w:p>
    <w:p w:rsidR="00501EDB" w:rsidRDefault="00C10B5E" w:rsidP="00C10B5E">
      <w:pPr>
        <w:pStyle w:val="ListParagraph"/>
        <w:numPr>
          <w:ilvl w:val="4"/>
          <w:numId w:val="2"/>
        </w:numPr>
      </w:pPr>
      <w:proofErr w:type="gramStart"/>
      <w:r>
        <w:t>list</w:t>
      </w:r>
      <w:proofErr w:type="gramEnd"/>
      <w:r>
        <w:t xml:space="preserve"> standing committees that are required, </w:t>
      </w:r>
      <w:proofErr w:type="spellStart"/>
      <w:r>
        <w:t>eg</w:t>
      </w:r>
      <w:proofErr w:type="spellEnd"/>
      <w:r>
        <w:t>. Audit and Finance committee, and move “who is in it” and “what they do” to Operating Procedures, on top of current recommendations by Bylaw Task force to move much of the current detail to Operating Procedures</w:t>
      </w:r>
    </w:p>
    <w:p w:rsidR="00CC7029" w:rsidRDefault="00CC7029" w:rsidP="00501EDB">
      <w:pPr>
        <w:pStyle w:val="ListParagraph"/>
        <w:ind w:left="2520"/>
      </w:pPr>
    </w:p>
    <w:p w:rsidR="00C10B5E" w:rsidRDefault="00501EDB" w:rsidP="00CC7029">
      <w:pPr>
        <w:pStyle w:val="ListParagraph"/>
        <w:numPr>
          <w:ilvl w:val="2"/>
          <w:numId w:val="2"/>
        </w:numPr>
      </w:pPr>
      <w:r>
        <w:t xml:space="preserve">Pres Hardy </w:t>
      </w:r>
      <w:r w:rsidR="00C10B5E">
        <w:t>a</w:t>
      </w:r>
      <w:r>
        <w:t>sk</w:t>
      </w:r>
      <w:r w:rsidR="00C10B5E">
        <w:t>ed</w:t>
      </w:r>
      <w:r>
        <w:t xml:space="preserve"> Bylaws Task force and this Board meeting to </w:t>
      </w:r>
    </w:p>
    <w:p w:rsidR="00C10B5E" w:rsidRDefault="00501EDB" w:rsidP="00134B43">
      <w:pPr>
        <w:pStyle w:val="ListParagraph"/>
        <w:ind w:left="1800"/>
      </w:pPr>
      <w:proofErr w:type="gramStart"/>
      <w:r>
        <w:t>stay</w:t>
      </w:r>
      <w:proofErr w:type="gramEnd"/>
      <w:r>
        <w:t xml:space="preserve"> on topic with simplifications of Bylaws and changes to Operating Procedures, </w:t>
      </w:r>
    </w:p>
    <w:p w:rsidR="00501EDB" w:rsidRDefault="00134B43" w:rsidP="00CC7029">
      <w:pPr>
        <w:pStyle w:val="ListParagraph"/>
        <w:numPr>
          <w:ilvl w:val="2"/>
          <w:numId w:val="2"/>
        </w:numPr>
      </w:pPr>
      <w:r>
        <w:t>All Board member asked to c</w:t>
      </w:r>
      <w:r w:rsidR="00C10B5E">
        <w:t>omment on any typos directly to Vice President Dan Wi</w:t>
      </w:r>
      <w:r w:rsidR="009B380D">
        <w:t>tt</w:t>
      </w:r>
      <w:r w:rsidR="00C10B5E">
        <w:t>liff within a week (January 22</w:t>
      </w:r>
      <w:r w:rsidR="00C10B5E" w:rsidRPr="00C10B5E">
        <w:rPr>
          <w:vertAlign w:val="superscript"/>
        </w:rPr>
        <w:t>nd</w:t>
      </w:r>
      <w:r w:rsidR="00C10B5E">
        <w:t xml:space="preserve">) </w:t>
      </w:r>
      <w:r w:rsidR="00501EDB">
        <w:t xml:space="preserve">and then </w:t>
      </w:r>
    </w:p>
    <w:p w:rsidR="00954180" w:rsidRDefault="00555B5A" w:rsidP="00CC7029">
      <w:pPr>
        <w:pStyle w:val="ListParagraph"/>
        <w:numPr>
          <w:ilvl w:val="2"/>
          <w:numId w:val="2"/>
        </w:numPr>
      </w:pPr>
      <w:r>
        <w:t>President Hardy will a</w:t>
      </w:r>
      <w:r w:rsidR="00C10B5E">
        <w:t>sk Bylaws Task Force s</w:t>
      </w:r>
      <w:r w:rsidR="00501EDB">
        <w:t>eparately</w:t>
      </w:r>
      <w:r w:rsidR="00C10B5E">
        <w:t xml:space="preserve"> </w:t>
      </w:r>
      <w:r w:rsidR="00501EDB">
        <w:t>proceed with substantive revisions to Bylaws 9, 12, 21, 22 that would eliminate</w:t>
      </w:r>
    </w:p>
    <w:p w:rsidR="00954180" w:rsidRPr="00954180" w:rsidRDefault="00954180" w:rsidP="00954180">
      <w:pPr>
        <w:rPr>
          <w:b/>
        </w:rPr>
      </w:pPr>
      <w:r w:rsidRPr="00954180">
        <w:rPr>
          <w:b/>
        </w:rPr>
        <w:t xml:space="preserve">6) </w:t>
      </w:r>
      <w:r>
        <w:rPr>
          <w:b/>
        </w:rPr>
        <w:t xml:space="preserve">2006-2011 </w:t>
      </w:r>
      <w:r w:rsidRPr="00954180">
        <w:rPr>
          <w:b/>
        </w:rPr>
        <w:t>Strategic Plan</w:t>
      </w:r>
    </w:p>
    <w:p w:rsidR="00954180" w:rsidRDefault="00134D63" w:rsidP="00134D63">
      <w:pPr>
        <w:pStyle w:val="ListParagraph"/>
        <w:numPr>
          <w:ilvl w:val="0"/>
          <w:numId w:val="6"/>
        </w:numPr>
      </w:pPr>
      <w:r>
        <w:t>2006-2011 Strategic P</w:t>
      </w:r>
      <w:r w:rsidR="00954180">
        <w:t>lan sunsets this year and a new plan must be prepared</w:t>
      </w:r>
    </w:p>
    <w:p w:rsidR="00134D63" w:rsidRDefault="00134D63" w:rsidP="00954180">
      <w:pPr>
        <w:pStyle w:val="ListParagraph"/>
        <w:numPr>
          <w:ilvl w:val="1"/>
          <w:numId w:val="2"/>
        </w:numPr>
      </w:pPr>
      <w:r>
        <w:t>Chris Stone looking to establish a Task Force to develop a 2020 strategic plan that would bring a new draft Strategic Plan to the House of Delegates</w:t>
      </w:r>
    </w:p>
    <w:p w:rsidR="00134D63" w:rsidRDefault="00134D63" w:rsidP="00954180">
      <w:pPr>
        <w:pStyle w:val="ListParagraph"/>
        <w:numPr>
          <w:ilvl w:val="1"/>
          <w:numId w:val="2"/>
        </w:numPr>
      </w:pPr>
      <w:r>
        <w:t>Information from brainstorming sessions from afternoon House of Delegates sessions at 2010 annual meeting will be used</w:t>
      </w:r>
    </w:p>
    <w:p w:rsidR="00134D63" w:rsidRDefault="00134D63" w:rsidP="00134D63">
      <w:pPr>
        <w:pStyle w:val="ListParagraph"/>
        <w:numPr>
          <w:ilvl w:val="1"/>
          <w:numId w:val="2"/>
        </w:numPr>
      </w:pPr>
      <w:r>
        <w:t>There will be planning sessions for House of Delegates at 2011 Annual Meeting in Las Vegas to review the draft</w:t>
      </w:r>
    </w:p>
    <w:p w:rsidR="00134D63" w:rsidRDefault="00134D63" w:rsidP="00134D63">
      <w:r w:rsidRPr="00134D63">
        <w:rPr>
          <w:b/>
        </w:rPr>
        <w:t>7</w:t>
      </w:r>
      <w:r>
        <w:rPr>
          <w:b/>
        </w:rPr>
        <w:t>.1</w:t>
      </w:r>
      <w:r w:rsidRPr="00134D63">
        <w:rPr>
          <w:b/>
        </w:rPr>
        <w:t>) State-National Agreements</w:t>
      </w:r>
    </w:p>
    <w:p w:rsidR="00134D63" w:rsidRDefault="00134D63" w:rsidP="00134D63">
      <w:pPr>
        <w:pStyle w:val="ListParagraph"/>
        <w:numPr>
          <w:ilvl w:val="0"/>
          <w:numId w:val="2"/>
        </w:numPr>
        <w:contextualSpacing w:val="0"/>
      </w:pPr>
      <w:r>
        <w:t>In the west, California &amp; Washington have signed. New Mexico and Nevada are pending (executed copy from Nevada received on Jan 15 by Art Schwartz)</w:t>
      </w:r>
    </w:p>
    <w:p w:rsidR="00134D63" w:rsidRDefault="00134D63" w:rsidP="00134D63">
      <w:pPr>
        <w:pStyle w:val="ListParagraph"/>
        <w:numPr>
          <w:ilvl w:val="0"/>
          <w:numId w:val="2"/>
        </w:numPr>
        <w:contextualSpacing w:val="0"/>
      </w:pPr>
      <w:r>
        <w:t>Action item: will distribute list of states that have signed the agreement to regional directors for discussion at regional meetings.</w:t>
      </w:r>
    </w:p>
    <w:p w:rsidR="00134D63" w:rsidRDefault="00134D63" w:rsidP="00134D63">
      <w:proofErr w:type="gramStart"/>
      <w:r w:rsidRPr="00722514">
        <w:rPr>
          <w:b/>
        </w:rPr>
        <w:t>7.2 )</w:t>
      </w:r>
      <w:proofErr w:type="gramEnd"/>
      <w:r>
        <w:t xml:space="preserve"> </w:t>
      </w:r>
      <w:r w:rsidRPr="00134D63">
        <w:rPr>
          <w:b/>
        </w:rPr>
        <w:t xml:space="preserve">State – </w:t>
      </w:r>
      <w:r>
        <w:rPr>
          <w:b/>
        </w:rPr>
        <w:t xml:space="preserve">national </w:t>
      </w:r>
      <w:r w:rsidRPr="00134D63">
        <w:rPr>
          <w:b/>
        </w:rPr>
        <w:t>unified dues</w:t>
      </w:r>
    </w:p>
    <w:p w:rsidR="00722514" w:rsidRDefault="00134D63" w:rsidP="00722514">
      <w:pPr>
        <w:pStyle w:val="ListParagraph"/>
        <w:numPr>
          <w:ilvl w:val="0"/>
          <w:numId w:val="2"/>
        </w:numPr>
        <w:contextualSpacing w:val="0"/>
      </w:pPr>
      <w:r>
        <w:t xml:space="preserve">Goal is to make state dues as simple as possible, minimizing state or chapter level discounts and graduated dues, having only national discounts and national member categories.  For example, have only one dues number in a state, with states re-allocating state dues to the chapters as needed. </w:t>
      </w:r>
    </w:p>
    <w:p w:rsidR="00722514" w:rsidRPr="00722514" w:rsidRDefault="00722514" w:rsidP="00722514">
      <w:pPr>
        <w:rPr>
          <w:b/>
        </w:rPr>
      </w:pPr>
      <w:proofErr w:type="gramStart"/>
      <w:r w:rsidRPr="00722514">
        <w:rPr>
          <w:b/>
        </w:rPr>
        <w:t>7.3 )</w:t>
      </w:r>
      <w:proofErr w:type="gramEnd"/>
      <w:r w:rsidRPr="00722514">
        <w:rPr>
          <w:b/>
        </w:rPr>
        <w:t xml:space="preserve"> House of Delegates – </w:t>
      </w:r>
    </w:p>
    <w:p w:rsidR="00722514" w:rsidRDefault="00722514" w:rsidP="00722514">
      <w:pPr>
        <w:pStyle w:val="ListParagraph"/>
        <w:numPr>
          <w:ilvl w:val="0"/>
          <w:numId w:val="2"/>
        </w:numPr>
        <w:contextualSpacing w:val="0"/>
      </w:pPr>
      <w:r>
        <w:t>Want to make good use of House of Delegates’ time at national meeting. Planning for that meeting will take place over the next quarter. May adjust how Delegates’ expenses are paid to reduce costs to national. Nothing firm yet</w:t>
      </w:r>
    </w:p>
    <w:p w:rsidR="00722514" w:rsidRDefault="00722514" w:rsidP="00722514">
      <w:pPr>
        <w:pStyle w:val="ListParagraph"/>
        <w:numPr>
          <w:ilvl w:val="0"/>
          <w:numId w:val="2"/>
        </w:numPr>
      </w:pPr>
      <w:r>
        <w:t>Fall 2011 meeting may coincide with NICET meeting Oct 27-29, 2011 (29</w:t>
      </w:r>
      <w:r w:rsidRPr="00722514">
        <w:rPr>
          <w:vertAlign w:val="superscript"/>
        </w:rPr>
        <w:t>th</w:t>
      </w:r>
      <w:r>
        <w:t xml:space="preserve"> is a Saturday)</w:t>
      </w:r>
    </w:p>
    <w:p w:rsidR="00722514" w:rsidRDefault="00722514" w:rsidP="00722514">
      <w:pPr>
        <w:rPr>
          <w:b/>
        </w:rPr>
      </w:pPr>
      <w:proofErr w:type="gramStart"/>
      <w:r w:rsidRPr="00722514">
        <w:rPr>
          <w:b/>
        </w:rPr>
        <w:t>8.1 )</w:t>
      </w:r>
      <w:proofErr w:type="gramEnd"/>
      <w:r w:rsidRPr="00722514">
        <w:rPr>
          <w:b/>
        </w:rPr>
        <w:t xml:space="preserve"> AMS update – </w:t>
      </w:r>
      <w:r w:rsidR="00555B5A">
        <w:rPr>
          <w:b/>
        </w:rPr>
        <w:t>(this is the new membership database)</w:t>
      </w:r>
    </w:p>
    <w:p w:rsidR="00722514" w:rsidRDefault="00722514" w:rsidP="00722514">
      <w:pPr>
        <w:pStyle w:val="ListParagraph"/>
        <w:numPr>
          <w:ilvl w:val="0"/>
          <w:numId w:val="2"/>
        </w:numPr>
        <w:contextualSpacing w:val="0"/>
      </w:pPr>
      <w:r>
        <w:t>Working to complete database mapping within next 30 days and have it available for the states to use at no-cost before July</w:t>
      </w:r>
    </w:p>
    <w:p w:rsidR="00722514" w:rsidRDefault="00722514" w:rsidP="00722514">
      <w:pPr>
        <w:pStyle w:val="ListParagraph"/>
        <w:numPr>
          <w:ilvl w:val="0"/>
          <w:numId w:val="2"/>
        </w:numPr>
        <w:contextualSpacing w:val="0"/>
      </w:pPr>
      <w:r>
        <w:t>Management of database information will be bi-directional, so states can change an address and it will be reflected in national database</w:t>
      </w:r>
    </w:p>
    <w:p w:rsidR="00722514" w:rsidRPr="00722514" w:rsidRDefault="00722514" w:rsidP="00722514">
      <w:pPr>
        <w:pStyle w:val="ListParagraph"/>
        <w:numPr>
          <w:ilvl w:val="0"/>
          <w:numId w:val="2"/>
        </w:numPr>
      </w:pPr>
      <w:r>
        <w:t xml:space="preserve">Some on-line training may be available. </w:t>
      </w:r>
    </w:p>
    <w:p w:rsidR="00722514" w:rsidRDefault="00722514" w:rsidP="00722514">
      <w:r w:rsidRPr="00722514">
        <w:rPr>
          <w:b/>
        </w:rPr>
        <w:t>8.2) Student chapter development task force</w:t>
      </w:r>
    </w:p>
    <w:p w:rsidR="00722514" w:rsidRDefault="00C1107C" w:rsidP="001C46AE">
      <w:pPr>
        <w:pStyle w:val="ListParagraph"/>
        <w:numPr>
          <w:ilvl w:val="0"/>
          <w:numId w:val="2"/>
        </w:numPr>
        <w:contextualSpacing w:val="0"/>
      </w:pPr>
      <w:r>
        <w:t>Board of D</w:t>
      </w:r>
      <w:r w:rsidR="00722514">
        <w:t>irectors voted to approve item 8.2.1, recommendation from student development task force to approve amendment to Bylaw 9 regarding student membership</w:t>
      </w:r>
    </w:p>
    <w:p w:rsidR="001C46AE" w:rsidRPr="001C46AE" w:rsidRDefault="001C46AE" w:rsidP="001C46AE">
      <w:pPr>
        <w:rPr>
          <w:b/>
        </w:rPr>
      </w:pPr>
      <w:r w:rsidRPr="001C46AE">
        <w:rPr>
          <w:b/>
        </w:rPr>
        <w:t>9.1) Goal 3 – membership growth</w:t>
      </w:r>
    </w:p>
    <w:p w:rsidR="001C46AE" w:rsidRDefault="001C46AE" w:rsidP="001C46AE">
      <w:pPr>
        <w:pStyle w:val="ListParagraph"/>
        <w:numPr>
          <w:ilvl w:val="0"/>
          <w:numId w:val="2"/>
        </w:numPr>
        <w:contextualSpacing w:val="0"/>
      </w:pPr>
      <w:r>
        <w:t>Presentation by Matt Purcell, membership committee chair. Overall membership is down 7.3% from Nov 2009 thru Nov 2010.  Paid members are down 11%.  Life members (free) and Retire members (1/2 price) will probably go up, thereby further depressing dues revenue.  Student members up 41% in the past year; the increase happened in May-June 2010.</w:t>
      </w:r>
      <w:r w:rsidR="00D81664">
        <w:t xml:space="preserve"> (</w:t>
      </w:r>
      <w:proofErr w:type="gramStart"/>
      <w:r w:rsidR="00D81664">
        <w:t>up</w:t>
      </w:r>
      <w:proofErr w:type="gramEnd"/>
      <w:r w:rsidR="00D81664">
        <w:t xml:space="preserve"> 650 student members</w:t>
      </w:r>
      <w:r w:rsidR="008301E3">
        <w:t xml:space="preserve"> in past year</w:t>
      </w:r>
      <w:r w:rsidR="00D81664">
        <w:t>)</w:t>
      </w:r>
    </w:p>
    <w:p w:rsidR="001C46AE" w:rsidRDefault="001C46AE" w:rsidP="001C46AE">
      <w:pPr>
        <w:pStyle w:val="ListParagraph"/>
        <w:numPr>
          <w:ilvl w:val="0"/>
          <w:numId w:val="2"/>
        </w:numPr>
        <w:contextualSpacing w:val="0"/>
      </w:pPr>
      <w:r>
        <w:t xml:space="preserve">Have revised membership committee composition, bringing in some new members who have had success in recruiting new members. </w:t>
      </w:r>
    </w:p>
    <w:p w:rsidR="001C46AE" w:rsidRDefault="001C46AE" w:rsidP="001C46AE">
      <w:pPr>
        <w:pStyle w:val="ListParagraph"/>
        <w:numPr>
          <w:ilvl w:val="0"/>
          <w:numId w:val="2"/>
        </w:numPr>
        <w:contextualSpacing w:val="0"/>
      </w:pPr>
      <w:r>
        <w:t>Want to educate on how to market membership state membership chairs on how to market membership</w:t>
      </w:r>
    </w:p>
    <w:p w:rsidR="001C46AE" w:rsidRDefault="001C46AE" w:rsidP="001C46AE">
      <w:pPr>
        <w:pStyle w:val="ListParagraph"/>
        <w:numPr>
          <w:ilvl w:val="0"/>
          <w:numId w:val="2"/>
        </w:numPr>
        <w:contextualSpacing w:val="0"/>
      </w:pPr>
      <w:r>
        <w:t xml:space="preserve">Need to connect student chapters to local </w:t>
      </w:r>
      <w:r w:rsidR="00D81664">
        <w:t xml:space="preserve">professional </w:t>
      </w:r>
      <w:r>
        <w:t>chapters to help maintain the relationship to students post-graduation</w:t>
      </w:r>
    </w:p>
    <w:p w:rsidR="00D81664" w:rsidRDefault="00D81664" w:rsidP="00D81664">
      <w:pPr>
        <w:pStyle w:val="ListParagraph"/>
        <w:numPr>
          <w:ilvl w:val="0"/>
          <w:numId w:val="2"/>
        </w:numPr>
        <w:contextualSpacing w:val="0"/>
      </w:pPr>
      <w:r>
        <w:t xml:space="preserve">Maybe transition from NSPE student chapter </w:t>
      </w:r>
      <w:proofErr w:type="spellStart"/>
      <w:r>
        <w:t>FaceBook</w:t>
      </w:r>
      <w:proofErr w:type="spellEnd"/>
      <w:r>
        <w:t xml:space="preserve"> group to </w:t>
      </w:r>
      <w:r w:rsidR="00C1107C">
        <w:t>a Recent G</w:t>
      </w:r>
      <w:r>
        <w:t xml:space="preserve">raduates </w:t>
      </w:r>
      <w:proofErr w:type="spellStart"/>
      <w:r>
        <w:t>FaceBook</w:t>
      </w:r>
      <w:proofErr w:type="spellEnd"/>
      <w:r>
        <w:t xml:space="preserve"> group. ((DJ action item – see if the </w:t>
      </w:r>
      <w:r w:rsidR="008301E3">
        <w:t xml:space="preserve">UNLV </w:t>
      </w:r>
      <w:r>
        <w:t>student</w:t>
      </w:r>
      <w:r w:rsidR="008301E3">
        <w:t xml:space="preserve"> chapter</w:t>
      </w:r>
      <w:r>
        <w:t xml:space="preserve"> can help establish a </w:t>
      </w:r>
      <w:proofErr w:type="spellStart"/>
      <w:r>
        <w:t>NevSPE</w:t>
      </w:r>
      <w:proofErr w:type="spellEnd"/>
      <w:r>
        <w:t xml:space="preserve"> </w:t>
      </w:r>
      <w:proofErr w:type="spellStart"/>
      <w:r>
        <w:t>FaceBook</w:t>
      </w:r>
      <w:proofErr w:type="spellEnd"/>
      <w:r>
        <w:t xml:space="preserve"> group into which they could transition post graduation)</w:t>
      </w:r>
    </w:p>
    <w:p w:rsidR="00A724C1" w:rsidRDefault="008F7F2D" w:rsidP="002F66BF">
      <w:pPr>
        <w:pStyle w:val="ListParagraph"/>
        <w:numPr>
          <w:ilvl w:val="0"/>
          <w:numId w:val="2"/>
        </w:numPr>
      </w:pPr>
      <w:r>
        <w:t>Discussion of costs of Life membership; primary cost is the magazine.</w:t>
      </w:r>
      <w:r w:rsidR="002F66BF">
        <w:t xml:space="preserve"> Larry Jacobson reports that NSPE sells $117,000 in advertising a year, and that a magazine of similar audience and distribution should sell $750,000 a year.   Need a strategy for doing this.  ASCE, ASME and others have an audience to whom advertisers want to sell technical products and services. This is harder to do for NSPE, with its emphasis on ethics and licensure. Motion to charge Life members for the magazine was tabled, pending further research by staff</w:t>
      </w:r>
    </w:p>
    <w:p w:rsidR="002F66BF" w:rsidRDefault="002F66BF" w:rsidP="00A724C1">
      <w:r w:rsidRPr="00A724C1">
        <w:rPr>
          <w:b/>
        </w:rPr>
        <w:t>9.2) Update on National marketing</w:t>
      </w:r>
    </w:p>
    <w:p w:rsidR="00722514" w:rsidRPr="002F66BF" w:rsidRDefault="002F66BF" w:rsidP="002F66BF">
      <w:pPr>
        <w:rPr>
          <w:b/>
        </w:rPr>
      </w:pPr>
      <w:r w:rsidRPr="002F66BF">
        <w:rPr>
          <w:b/>
        </w:rPr>
        <w:t>10.1) Region State/Chapter Highlights</w:t>
      </w:r>
    </w:p>
    <w:p w:rsidR="00A724C1" w:rsidRPr="00A724C1" w:rsidRDefault="00A724C1" w:rsidP="00A724C1">
      <w:pPr>
        <w:rPr>
          <w:b/>
        </w:rPr>
      </w:pPr>
      <w:proofErr w:type="gramStart"/>
      <w:r w:rsidRPr="00A724C1">
        <w:rPr>
          <w:b/>
        </w:rPr>
        <w:t>12 )</w:t>
      </w:r>
      <w:proofErr w:type="gramEnd"/>
      <w:r w:rsidRPr="00A724C1">
        <w:rPr>
          <w:b/>
        </w:rPr>
        <w:t xml:space="preserve"> New business</w:t>
      </w:r>
    </w:p>
    <w:p w:rsidR="00A724C1" w:rsidRPr="00A724C1" w:rsidRDefault="00A724C1" w:rsidP="00A724C1">
      <w:pPr>
        <w:rPr>
          <w:b/>
        </w:rPr>
      </w:pPr>
      <w:r w:rsidRPr="00A724C1">
        <w:rPr>
          <w:b/>
        </w:rPr>
        <w:t>13.1) Action items</w:t>
      </w:r>
    </w:p>
    <w:p w:rsidR="00C52EF1" w:rsidRDefault="00A724C1" w:rsidP="00C52EF1">
      <w:pPr>
        <w:pStyle w:val="ListParagraph"/>
        <w:numPr>
          <w:ilvl w:val="0"/>
          <w:numId w:val="2"/>
        </w:numPr>
        <w:contextualSpacing w:val="0"/>
      </w:pPr>
      <w:r>
        <w:t>Art Schwartz has written an action item list for this meeting</w:t>
      </w:r>
      <w:r w:rsidR="00720C02">
        <w:t xml:space="preserve"> that will be electronically distributed</w:t>
      </w:r>
    </w:p>
    <w:p w:rsidR="00A724C1" w:rsidRPr="00A724C1" w:rsidRDefault="00C52EF1" w:rsidP="00C52EF1">
      <w:pPr>
        <w:pStyle w:val="ListParagraph"/>
        <w:numPr>
          <w:ilvl w:val="0"/>
          <w:numId w:val="2"/>
        </w:numPr>
        <w:contextualSpacing w:val="0"/>
      </w:pPr>
      <w:r>
        <w:t>Communicate interests from states on topics that they’d like to see covered at the upcoming 2011 National meeting</w:t>
      </w:r>
    </w:p>
    <w:p w:rsidR="00ED40DB" w:rsidRPr="00A724C1" w:rsidRDefault="00C52EF1" w:rsidP="00C52EF1">
      <w:pPr>
        <w:pStyle w:val="ListParagraph"/>
        <w:numPr>
          <w:ilvl w:val="0"/>
          <w:numId w:val="2"/>
        </w:numPr>
      </w:pPr>
      <w:r>
        <w:t>If regions/states want national officers at their meetings, they need to put in their requests soon</w:t>
      </w:r>
    </w:p>
    <w:sectPr w:rsidR="00ED40DB" w:rsidRPr="00A724C1" w:rsidSect="00ED40DB">
      <w:headerReference w:type="default"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7C" w:rsidRDefault="00C1107C">
    <w:pPr>
      <w:pStyle w:val="Footer"/>
    </w:pPr>
    <w:r w:rsidRPr="00B22717">
      <w:rPr>
        <w:sz w:val="20"/>
      </w:rPr>
      <w:fldChar w:fldCharType="begin"/>
    </w:r>
    <w:r w:rsidRPr="00B22717">
      <w:rPr>
        <w:sz w:val="20"/>
      </w:rPr>
      <w:instrText xml:space="preserve"> FILENAME </w:instrText>
    </w:r>
    <w:r w:rsidRPr="00B22717">
      <w:rPr>
        <w:sz w:val="20"/>
      </w:rPr>
      <w:fldChar w:fldCharType="separate"/>
    </w:r>
    <w:r>
      <w:rPr>
        <w:noProof/>
        <w:sz w:val="20"/>
      </w:rPr>
      <w:t>DJ_Notes of NSPE Winter board meeting Tucson January 15.docx</w:t>
    </w:r>
    <w:r w:rsidRPr="00B22717">
      <w:rPr>
        <w:sz w:val="20"/>
      </w:rPr>
      <w:fldChar w:fldCharType="end"/>
    </w:r>
    <w:r>
      <w:rPr>
        <w:sz w:val="20"/>
      </w:rPr>
      <w:tab/>
    </w:r>
    <w:r w:rsidRPr="00B22717">
      <w:rPr>
        <w:sz w:val="20"/>
      </w:rPr>
      <w:t xml:space="preserve">Page </w:t>
    </w:r>
    <w:r w:rsidRPr="00B22717">
      <w:rPr>
        <w:sz w:val="20"/>
      </w:rPr>
      <w:fldChar w:fldCharType="begin"/>
    </w:r>
    <w:r w:rsidRPr="00B22717">
      <w:rPr>
        <w:sz w:val="20"/>
      </w:rPr>
      <w:instrText xml:space="preserve"> PAGE </w:instrText>
    </w:r>
    <w:r w:rsidRPr="00B22717">
      <w:rPr>
        <w:sz w:val="20"/>
      </w:rPr>
      <w:fldChar w:fldCharType="separate"/>
    </w:r>
    <w:r w:rsidR="000C198B">
      <w:rPr>
        <w:noProof/>
        <w:sz w:val="20"/>
      </w:rPr>
      <w:t>1</w:t>
    </w:r>
    <w:r w:rsidRPr="00B22717">
      <w:rPr>
        <w:sz w:val="20"/>
      </w:rPr>
      <w:fldChar w:fldCharType="end"/>
    </w:r>
    <w:r w:rsidRPr="00B22717">
      <w:rPr>
        <w:sz w:val="20"/>
      </w:rPr>
      <w:t xml:space="preserve"> of </w:t>
    </w:r>
    <w:r w:rsidRPr="00B22717">
      <w:rPr>
        <w:sz w:val="20"/>
      </w:rPr>
      <w:fldChar w:fldCharType="begin"/>
    </w:r>
    <w:r w:rsidRPr="00B22717">
      <w:rPr>
        <w:sz w:val="20"/>
      </w:rPr>
      <w:instrText xml:space="preserve"> NUMPAGES </w:instrText>
    </w:r>
    <w:r w:rsidRPr="00B22717">
      <w:rPr>
        <w:sz w:val="20"/>
      </w:rPr>
      <w:fldChar w:fldCharType="separate"/>
    </w:r>
    <w:r w:rsidR="000C198B">
      <w:rPr>
        <w:noProof/>
        <w:sz w:val="20"/>
      </w:rPr>
      <w:t>6</w:t>
    </w:r>
    <w:r w:rsidRPr="00B22717">
      <w:rPr>
        <w:sz w:val="20"/>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7C" w:rsidRPr="0044691E" w:rsidRDefault="00C1107C" w:rsidP="00E36068">
    <w:pPr>
      <w:jc w:val="center"/>
      <w:rPr>
        <w:b/>
      </w:rPr>
    </w:pPr>
    <w:r w:rsidRPr="0044691E">
      <w:rPr>
        <w:b/>
      </w:rPr>
      <w:t>NSPE Winter board meeting</w:t>
    </w:r>
    <w:r>
      <w:rPr>
        <w:b/>
      </w:rPr>
      <w:t xml:space="preserve"> notes </w:t>
    </w:r>
    <w:r w:rsidRPr="0044691E">
      <w:rPr>
        <w:b/>
      </w:rPr>
      <w:t xml:space="preserve"> </w:t>
    </w:r>
    <w:r>
      <w:rPr>
        <w:b/>
      </w:rPr>
      <w:t xml:space="preserve"> </w:t>
    </w:r>
    <w:r w:rsidRPr="0044691E">
      <w:rPr>
        <w:b/>
      </w:rPr>
      <w:t>Tucson</w:t>
    </w:r>
    <w:r>
      <w:rPr>
        <w:b/>
      </w:rPr>
      <w:t xml:space="preserve">, AZ   Jan. 15, 2011 – by </w:t>
    </w:r>
    <w:r w:rsidRPr="0044691E">
      <w:rPr>
        <w:b/>
      </w:rPr>
      <w:t>Dave James</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E7162"/>
    <w:multiLevelType w:val="hybridMultilevel"/>
    <w:tmpl w:val="21064092"/>
    <w:lvl w:ilvl="0" w:tplc="8F728748">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D0DF6"/>
    <w:multiLevelType w:val="hybridMultilevel"/>
    <w:tmpl w:val="B204BF1E"/>
    <w:lvl w:ilvl="0" w:tplc="8F728748">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D5A47"/>
    <w:multiLevelType w:val="hybridMultilevel"/>
    <w:tmpl w:val="1B666400"/>
    <w:lvl w:ilvl="0" w:tplc="8F728748">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21267"/>
    <w:multiLevelType w:val="hybridMultilevel"/>
    <w:tmpl w:val="74A8F38C"/>
    <w:lvl w:ilvl="0" w:tplc="8F728748">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C115B4"/>
    <w:multiLevelType w:val="hybridMultilevel"/>
    <w:tmpl w:val="F18C16E8"/>
    <w:lvl w:ilvl="0" w:tplc="8F728748">
      <w:numFmt w:val="bullet"/>
      <w:lvlText w:val="-"/>
      <w:lvlJc w:val="left"/>
      <w:pPr>
        <w:ind w:left="360" w:hanging="360"/>
      </w:pPr>
      <w:rPr>
        <w:rFonts w:ascii="Cambria" w:eastAsiaTheme="minorHAnsi" w:hAnsi="Cambria"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023EB3"/>
    <w:multiLevelType w:val="hybridMultilevel"/>
    <w:tmpl w:val="4BC2A2BE"/>
    <w:lvl w:ilvl="0" w:tplc="8F728748">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31410"/>
    <w:multiLevelType w:val="hybridMultilevel"/>
    <w:tmpl w:val="DE1A4808"/>
    <w:lvl w:ilvl="0" w:tplc="8F728748">
      <w:numFmt w:val="bullet"/>
      <w:lvlText w:val="-"/>
      <w:lvlJc w:val="left"/>
      <w:pPr>
        <w:ind w:left="360" w:hanging="360"/>
      </w:pPr>
      <w:rPr>
        <w:rFonts w:ascii="Cambria" w:eastAsiaTheme="minorHAnsi" w:hAnsi="Cambria" w:cstheme="minorBidi"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8C2233"/>
    <w:multiLevelType w:val="hybridMultilevel"/>
    <w:tmpl w:val="72E071AE"/>
    <w:lvl w:ilvl="0" w:tplc="8F728748">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E40151"/>
    <w:multiLevelType w:val="hybridMultilevel"/>
    <w:tmpl w:val="6310E9F6"/>
    <w:lvl w:ilvl="0" w:tplc="DAA0B3E8">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D31150"/>
    <w:multiLevelType w:val="hybridMultilevel"/>
    <w:tmpl w:val="D802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8"/>
  </w:num>
  <w:num w:numId="5">
    <w:abstractNumId w:val="6"/>
  </w:num>
  <w:num w:numId="6">
    <w:abstractNumId w:val="0"/>
  </w:num>
  <w:num w:numId="7">
    <w:abstractNumId w:val="2"/>
  </w:num>
  <w:num w:numId="8">
    <w:abstractNumId w:val="1"/>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D40DB"/>
    <w:rsid w:val="00006AFF"/>
    <w:rsid w:val="00091DAE"/>
    <w:rsid w:val="000A458A"/>
    <w:rsid w:val="000C198B"/>
    <w:rsid w:val="00134B43"/>
    <w:rsid w:val="00134D63"/>
    <w:rsid w:val="001C46AE"/>
    <w:rsid w:val="002F66BF"/>
    <w:rsid w:val="00316A1E"/>
    <w:rsid w:val="003408B4"/>
    <w:rsid w:val="003D374D"/>
    <w:rsid w:val="003D5C1A"/>
    <w:rsid w:val="003E4E07"/>
    <w:rsid w:val="0044691E"/>
    <w:rsid w:val="00464A16"/>
    <w:rsid w:val="00501EDB"/>
    <w:rsid w:val="00503E21"/>
    <w:rsid w:val="00555B5A"/>
    <w:rsid w:val="006E0931"/>
    <w:rsid w:val="00720C02"/>
    <w:rsid w:val="00722514"/>
    <w:rsid w:val="007F5603"/>
    <w:rsid w:val="008301E3"/>
    <w:rsid w:val="008F7A66"/>
    <w:rsid w:val="008F7F2D"/>
    <w:rsid w:val="00954180"/>
    <w:rsid w:val="00961ED9"/>
    <w:rsid w:val="009B380D"/>
    <w:rsid w:val="009E14D3"/>
    <w:rsid w:val="00A724C1"/>
    <w:rsid w:val="00A879D6"/>
    <w:rsid w:val="00B22717"/>
    <w:rsid w:val="00C03D41"/>
    <w:rsid w:val="00C10B5E"/>
    <w:rsid w:val="00C1107C"/>
    <w:rsid w:val="00C52EF1"/>
    <w:rsid w:val="00C559FD"/>
    <w:rsid w:val="00CC7029"/>
    <w:rsid w:val="00D651C8"/>
    <w:rsid w:val="00D81664"/>
    <w:rsid w:val="00E36068"/>
    <w:rsid w:val="00ED40D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C671F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E36068"/>
    <w:pPr>
      <w:tabs>
        <w:tab w:val="center" w:pos="4320"/>
        <w:tab w:val="right" w:pos="8640"/>
      </w:tabs>
      <w:spacing w:after="0"/>
    </w:pPr>
  </w:style>
  <w:style w:type="character" w:customStyle="1" w:styleId="HeaderChar">
    <w:name w:val="Header Char"/>
    <w:basedOn w:val="DefaultParagraphFont"/>
    <w:link w:val="Header"/>
    <w:uiPriority w:val="99"/>
    <w:semiHidden/>
    <w:rsid w:val="00E36068"/>
    <w:rPr>
      <w:sz w:val="24"/>
      <w:szCs w:val="24"/>
    </w:rPr>
  </w:style>
  <w:style w:type="paragraph" w:styleId="Footer">
    <w:name w:val="footer"/>
    <w:basedOn w:val="Normal"/>
    <w:link w:val="FooterChar"/>
    <w:uiPriority w:val="99"/>
    <w:semiHidden/>
    <w:unhideWhenUsed/>
    <w:rsid w:val="00E36068"/>
    <w:pPr>
      <w:tabs>
        <w:tab w:val="center" w:pos="4320"/>
        <w:tab w:val="right" w:pos="8640"/>
      </w:tabs>
      <w:spacing w:after="0"/>
    </w:pPr>
  </w:style>
  <w:style w:type="character" w:customStyle="1" w:styleId="FooterChar">
    <w:name w:val="Footer Char"/>
    <w:basedOn w:val="DefaultParagraphFont"/>
    <w:link w:val="Footer"/>
    <w:uiPriority w:val="99"/>
    <w:semiHidden/>
    <w:rsid w:val="00E36068"/>
    <w:rPr>
      <w:sz w:val="24"/>
      <w:szCs w:val="24"/>
    </w:rPr>
  </w:style>
  <w:style w:type="paragraph" w:styleId="ListParagraph">
    <w:name w:val="List Paragraph"/>
    <w:basedOn w:val="Normal"/>
    <w:uiPriority w:val="34"/>
    <w:qFormat/>
    <w:rsid w:val="009E14D3"/>
    <w:pPr>
      <w:ind w:left="720"/>
      <w:contextualSpacing/>
    </w:pPr>
  </w:style>
</w:styles>
</file>

<file path=word/webSettings.xml><?xml version="1.0" encoding="utf-8"?>
<w:webSettings xmlns:r="http://schemas.openxmlformats.org/officeDocument/2006/relationships" xmlns:w="http://schemas.openxmlformats.org/wordprocessingml/2006/main">
  <w:divs>
    <w:div w:id="17150846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1680</Words>
  <Characters>9578</Characters>
  <Application>Microsoft Macintosh Word</Application>
  <DocSecurity>0</DocSecurity>
  <Lines>79</Lines>
  <Paragraphs>19</Paragraphs>
  <ScaleCrop>false</ScaleCrop>
  <Company>University of Nevada, Las Vegas</Company>
  <LinksUpToDate>false</LinksUpToDate>
  <CharactersWithSpaces>11762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David Earl James</cp:lastModifiedBy>
  <cp:revision>18</cp:revision>
  <dcterms:created xsi:type="dcterms:W3CDTF">2011-01-15T15:28:00Z</dcterms:created>
  <dcterms:modified xsi:type="dcterms:W3CDTF">2011-01-18T04:26:00Z</dcterms:modified>
</cp:coreProperties>
</file>